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0B0A12">
      <w:pPr>
        <w:spacing w:line="360" w:lineRule="auto"/>
        <w:jc w:val="center"/>
        <w:rPr>
          <w:rFonts w:ascii="宋体" w:hAnsi="宋体"/>
          <w:b/>
          <w:sz w:val="32"/>
          <w:szCs w:val="32"/>
        </w:rPr>
      </w:pPr>
      <w:r>
        <w:rPr>
          <w:rFonts w:hint="eastAsia" w:ascii="宋体" w:hAnsi="宋体"/>
          <w:b/>
          <w:sz w:val="32"/>
          <w:szCs w:val="32"/>
        </w:rPr>
        <w:t>浙江</w:t>
      </w:r>
      <w:r>
        <w:rPr>
          <w:rFonts w:hint="eastAsia" w:ascii="宋体" w:hAnsi="宋体"/>
          <w:b/>
          <w:sz w:val="32"/>
          <w:szCs w:val="32"/>
          <w:lang w:val="en-US" w:eastAsia="zh-CN"/>
        </w:rPr>
        <w:t>诸暨</w:t>
      </w:r>
      <w:r>
        <w:rPr>
          <w:rFonts w:hint="eastAsia" w:ascii="宋体" w:hAnsi="宋体"/>
          <w:b/>
          <w:sz w:val="32"/>
          <w:szCs w:val="32"/>
        </w:rPr>
        <w:t>储备</w:t>
      </w:r>
      <w:r>
        <w:rPr>
          <w:rFonts w:hint="eastAsia" w:ascii="宋体" w:hAnsi="宋体"/>
          <w:b/>
          <w:sz w:val="32"/>
          <w:szCs w:val="32"/>
          <w:lang w:val="en-US" w:eastAsia="zh-CN"/>
        </w:rPr>
        <w:t>油</w:t>
      </w:r>
      <w:r>
        <w:rPr>
          <w:rFonts w:hint="eastAsia" w:ascii="宋体" w:hAnsi="宋体"/>
          <w:b/>
          <w:sz w:val="32"/>
          <w:szCs w:val="32"/>
        </w:rPr>
        <w:t>公开竞价采购粮油交割</w:t>
      </w:r>
      <w:r>
        <w:rPr>
          <w:rFonts w:hint="eastAsia" w:ascii="宋体" w:hAnsi="宋体"/>
          <w:b/>
          <w:sz w:val="32"/>
          <w:szCs w:val="32"/>
        </w:rPr>
        <w:t>细则</w:t>
      </w:r>
    </w:p>
    <w:p w14:paraId="708E0829">
      <w:pPr>
        <w:spacing w:line="360" w:lineRule="auto"/>
        <w:jc w:val="center"/>
        <w:rPr>
          <w:rFonts w:ascii="宋体" w:hAnsi="宋体"/>
          <w:b/>
          <w:sz w:val="32"/>
          <w:szCs w:val="32"/>
        </w:rPr>
      </w:pPr>
      <w:r>
        <w:rPr>
          <w:rFonts w:hint="eastAsia" w:ascii="宋体" w:hAnsi="宋体"/>
          <w:b/>
          <w:sz w:val="32"/>
          <w:szCs w:val="32"/>
        </w:rPr>
        <w:t>（国粮浙交</w:t>
      </w:r>
      <w:r>
        <w:rPr>
          <w:rFonts w:ascii="宋体" w:hAnsi="宋体"/>
          <w:b/>
          <w:sz w:val="32"/>
          <w:szCs w:val="32"/>
        </w:rPr>
        <w:t>202</w:t>
      </w:r>
      <w:r>
        <w:rPr>
          <w:rFonts w:hint="eastAsia" w:ascii="宋体" w:hAnsi="宋体"/>
          <w:b/>
          <w:sz w:val="32"/>
          <w:szCs w:val="32"/>
        </w:rPr>
        <w:t>5第</w:t>
      </w:r>
      <w:r>
        <w:rPr>
          <w:rFonts w:hint="eastAsia" w:ascii="宋体" w:hAnsi="宋体"/>
          <w:b/>
          <w:sz w:val="32"/>
          <w:szCs w:val="32"/>
          <w:lang w:val="en-US" w:eastAsia="zh-CN"/>
        </w:rPr>
        <w:t>912</w:t>
      </w:r>
      <w:r>
        <w:rPr>
          <w:rFonts w:hint="eastAsia" w:ascii="宋体" w:hAnsi="宋体"/>
          <w:b/>
          <w:sz w:val="32"/>
          <w:szCs w:val="32"/>
        </w:rPr>
        <w:t>号）</w:t>
      </w:r>
    </w:p>
    <w:p w14:paraId="13DC12DF">
      <w:pPr>
        <w:spacing w:line="440" w:lineRule="atLeast"/>
        <w:ind w:firstLine="480" w:firstLineChars="200"/>
        <w:rPr>
          <w:rFonts w:ascii="宋体" w:hAnsi="宋体"/>
          <w:sz w:val="24"/>
        </w:rPr>
      </w:pPr>
      <w:r>
        <w:rPr>
          <w:rFonts w:hint="eastAsia" w:ascii="宋体" w:hAnsi="宋体"/>
          <w:sz w:val="24"/>
        </w:rPr>
        <w:t>一、品种、数量、质量、运输要求及</w:t>
      </w:r>
      <w:r>
        <w:rPr>
          <w:rFonts w:hint="eastAsia" w:ascii="宋体" w:hAnsi="宋体"/>
          <w:sz w:val="24"/>
          <w:lang w:eastAsia="zh-CN"/>
        </w:rPr>
        <w:t>交易</w:t>
      </w:r>
      <w:r>
        <w:rPr>
          <w:rFonts w:hint="eastAsia" w:ascii="宋体" w:hAnsi="宋体"/>
          <w:sz w:val="24"/>
        </w:rPr>
        <w:t>时间：</w:t>
      </w:r>
      <w:bookmarkStart w:id="0" w:name="_GoBack"/>
      <w:bookmarkEnd w:id="0"/>
    </w:p>
    <w:p w14:paraId="7CCC9FCB">
      <w:pPr>
        <w:widowControl/>
        <w:adjustRightInd w:val="0"/>
        <w:snapToGrid w:val="0"/>
        <w:spacing w:line="440" w:lineRule="atLeast"/>
        <w:ind w:firstLine="480" w:firstLineChars="200"/>
        <w:jc w:val="left"/>
        <w:rPr>
          <w:rFonts w:cs="宋体"/>
          <w:kern w:val="0"/>
          <w:sz w:val="24"/>
        </w:rPr>
      </w:pPr>
      <w:r>
        <w:rPr>
          <w:rFonts w:hint="eastAsia" w:ascii="宋体" w:hAnsi="宋体"/>
          <w:sz w:val="24"/>
        </w:rPr>
        <w:t>1、</w:t>
      </w:r>
      <w:r>
        <w:rPr>
          <w:rFonts w:hint="eastAsia" w:cs="宋体"/>
          <w:kern w:val="0"/>
          <w:sz w:val="24"/>
        </w:rPr>
        <w:t>本次采购品种：</w:t>
      </w:r>
      <w:r>
        <w:rPr>
          <w:rFonts w:hint="eastAsia" w:ascii="宋体" w:hAnsi="宋体" w:cs="宋体"/>
          <w:color w:val="000000"/>
          <w:sz w:val="24"/>
          <w:shd w:val="clear" w:color="auto" w:fill="FFFFFF"/>
        </w:rPr>
        <w:t>小包装</w:t>
      </w:r>
      <w:r>
        <w:rPr>
          <w:rFonts w:hint="eastAsia" w:ascii="宋体" w:hAnsi="宋体" w:cs="宋体"/>
          <w:color w:val="000000"/>
          <w:sz w:val="24"/>
          <w:shd w:val="clear" w:color="auto" w:fill="FFFFFF"/>
          <w:lang w:val="en-US" w:eastAsia="zh-CN"/>
        </w:rPr>
        <w:t>一级大豆油</w:t>
      </w:r>
      <w:r>
        <w:rPr>
          <w:rFonts w:hint="eastAsia" w:cs="宋体"/>
          <w:kern w:val="0"/>
          <w:sz w:val="24"/>
        </w:rPr>
        <w:t>。</w:t>
      </w:r>
    </w:p>
    <w:p w14:paraId="194424DB">
      <w:pPr>
        <w:widowControl/>
        <w:adjustRightInd w:val="0"/>
        <w:snapToGrid w:val="0"/>
        <w:spacing w:line="440" w:lineRule="atLeast"/>
        <w:ind w:firstLine="480" w:firstLineChars="200"/>
        <w:jc w:val="left"/>
        <w:rPr>
          <w:rFonts w:ascii="宋体" w:hAnsi="宋体" w:cs="宋体"/>
          <w:color w:val="000000"/>
          <w:sz w:val="24"/>
        </w:rPr>
      </w:pPr>
      <w:r>
        <w:rPr>
          <w:rFonts w:hint="eastAsia" w:asciiTheme="minorEastAsia" w:hAnsiTheme="minorEastAsia" w:eastAsiaTheme="minorEastAsia" w:cstheme="minorEastAsia"/>
          <w:kern w:val="0"/>
          <w:sz w:val="24"/>
          <w:lang w:val="en-US" w:eastAsia="zh-CN"/>
        </w:rPr>
        <w:t>2</w:t>
      </w:r>
      <w:r>
        <w:rPr>
          <w:rFonts w:hint="eastAsia" w:cs="宋体"/>
          <w:kern w:val="0"/>
          <w:sz w:val="24"/>
        </w:rPr>
        <w:t>、</w:t>
      </w:r>
      <w:r>
        <w:rPr>
          <w:rFonts w:hint="eastAsia" w:ascii="宋体" w:hAnsi="宋体" w:cs="宋体"/>
          <w:color w:val="000000"/>
          <w:sz w:val="24"/>
        </w:rPr>
        <w:t>数量规格：</w:t>
      </w:r>
      <w:r>
        <w:rPr>
          <w:rFonts w:hint="eastAsia" w:ascii="宋体" w:hAnsi="宋体" w:cs="宋体"/>
          <w:color w:val="000000"/>
          <w:sz w:val="24"/>
          <w:lang w:val="en-US" w:eastAsia="zh-CN"/>
        </w:rPr>
        <w:t>475</w:t>
      </w:r>
      <w:r>
        <w:rPr>
          <w:rFonts w:hint="eastAsia" w:ascii="宋体" w:hAnsi="宋体" w:cs="宋体"/>
          <w:color w:val="000000"/>
          <w:sz w:val="24"/>
        </w:rPr>
        <w:t>吨（</w:t>
      </w:r>
      <w:r>
        <w:rPr>
          <w:rFonts w:hint="eastAsia" w:ascii="宋体" w:hAnsi="宋体" w:cs="宋体"/>
          <w:color w:val="000000"/>
          <w:sz w:val="24"/>
          <w:lang w:val="en-US" w:eastAsia="zh-CN"/>
        </w:rPr>
        <w:t>25817</w:t>
      </w:r>
      <w:r>
        <w:rPr>
          <w:rFonts w:hint="eastAsia" w:ascii="宋体" w:hAnsi="宋体" w:cs="宋体"/>
          <w:color w:val="000000"/>
          <w:sz w:val="24"/>
        </w:rPr>
        <w:t>箱、每箱5升*4瓶）；需另加</w:t>
      </w:r>
      <w:r>
        <w:rPr>
          <w:rFonts w:hint="eastAsia" w:ascii="宋体" w:hAnsi="宋体" w:cs="宋体"/>
          <w:color w:val="000000"/>
          <w:sz w:val="24"/>
          <w:lang w:val="en-US" w:eastAsia="zh-CN"/>
        </w:rPr>
        <w:t>2</w:t>
      </w:r>
      <w:r>
        <w:rPr>
          <w:rFonts w:hint="eastAsia" w:ascii="宋体" w:hAnsi="宋体" w:cs="宋体"/>
          <w:color w:val="000000"/>
          <w:sz w:val="24"/>
        </w:rPr>
        <w:t>箱送第三方质检机构检测备用（不计价）。</w:t>
      </w:r>
    </w:p>
    <w:p w14:paraId="2D8CDB17">
      <w:pPr>
        <w:pStyle w:val="5"/>
        <w:spacing w:before="0" w:beforeAutospacing="0" w:after="0" w:afterAutospacing="0" w:line="480" w:lineRule="exact"/>
        <w:ind w:firstLine="480"/>
        <w:rPr>
          <w:rFonts w:hint="eastAsia"/>
          <w:color w:val="000000"/>
          <w:sz w:val="27"/>
          <w:szCs w:val="27"/>
        </w:rPr>
      </w:pPr>
      <w:r>
        <w:rPr>
          <w:rFonts w:hint="eastAsia" w:ascii="宋体" w:hAnsi="宋体"/>
          <w:sz w:val="24"/>
        </w:rPr>
        <w:t>4、</w:t>
      </w:r>
      <w:r>
        <w:rPr>
          <w:rFonts w:hint="eastAsia" w:ascii="宋体" w:hAnsi="宋体" w:cs="宋体"/>
          <w:color w:val="000000"/>
          <w:sz w:val="24"/>
        </w:rPr>
        <w:t>质量要求：</w:t>
      </w:r>
      <w:r>
        <w:rPr>
          <w:rFonts w:hint="eastAsia"/>
          <w:color w:val="000000"/>
        </w:rPr>
        <w:t>符合《大豆油》（GB/T 1535-2017）成品大豆油国标一级质量指标要求（全项目）；食品安全指标符合《食品安全国家标准植物油GB 2716-2018》（黄曲霉毒素B1、苯并(a)芘、铅(Pb)、总砷(As)）等国家有关标准要求。</w:t>
      </w:r>
    </w:p>
    <w:p w14:paraId="3CFF64BA">
      <w:pPr>
        <w:widowControl/>
        <w:adjustRightInd w:val="0"/>
        <w:snapToGrid w:val="0"/>
        <w:spacing w:line="440" w:lineRule="atLeast"/>
        <w:ind w:firstLine="480" w:firstLineChars="200"/>
        <w:jc w:val="left"/>
        <w:rPr>
          <w:rFonts w:hint="eastAsia" w:ascii="宋体" w:hAnsi="宋体" w:eastAsia="微软雅黑" w:cs="宋体"/>
          <w:color w:val="000000"/>
          <w:sz w:val="24"/>
          <w:szCs w:val="27"/>
        </w:rPr>
      </w:pPr>
      <w:r>
        <w:rPr>
          <w:rFonts w:hint="eastAsia" w:ascii="宋体" w:hAnsi="宋体"/>
          <w:sz w:val="24"/>
        </w:rPr>
        <w:t>5、</w:t>
      </w:r>
      <w:r>
        <w:rPr>
          <w:rFonts w:hint="eastAsia" w:ascii="宋体" w:hAnsi="宋体" w:cs="宋体"/>
          <w:color w:val="000000"/>
          <w:sz w:val="24"/>
        </w:rPr>
        <w:t>生产年份：2025年11月1日以后生产，且生产间隔日期不得超过30天，（保质期不少于18个月）。</w:t>
      </w:r>
    </w:p>
    <w:p w14:paraId="2CC80BFD">
      <w:pPr>
        <w:widowControl/>
        <w:tabs>
          <w:tab w:val="left" w:pos="0"/>
        </w:tabs>
        <w:adjustRightInd w:val="0"/>
        <w:snapToGrid w:val="0"/>
        <w:spacing w:line="440" w:lineRule="atLeast"/>
        <w:ind w:firstLine="480" w:firstLineChars="200"/>
        <w:rPr>
          <w:rFonts w:cs="宋体"/>
          <w:kern w:val="0"/>
          <w:sz w:val="24"/>
        </w:rPr>
      </w:pPr>
      <w:r>
        <w:rPr>
          <w:rFonts w:hint="eastAsia" w:ascii="宋体" w:hAnsi="宋体"/>
          <w:sz w:val="24"/>
        </w:rPr>
        <w:t>6、</w:t>
      </w:r>
      <w:r>
        <w:rPr>
          <w:rFonts w:hint="eastAsia" w:ascii="宋体" w:hAnsi="宋体" w:cs="宋体"/>
          <w:color w:val="000000"/>
          <w:sz w:val="24"/>
        </w:rPr>
        <w:t>交货方式：实行供方送货制。</w:t>
      </w:r>
    </w:p>
    <w:p w14:paraId="0FEABD65">
      <w:pPr>
        <w:spacing w:line="440" w:lineRule="atLeast"/>
        <w:ind w:firstLine="480" w:firstLineChars="200"/>
        <w:rPr>
          <w:rFonts w:ascii="宋体" w:hAnsi="宋体"/>
          <w:sz w:val="24"/>
        </w:rPr>
      </w:pPr>
      <w:r>
        <w:rPr>
          <w:rFonts w:hint="eastAsia" w:ascii="宋体" w:hAnsi="宋体"/>
          <w:sz w:val="24"/>
        </w:rPr>
        <w:t>二、合同签订、交货时间、方式及验收地点：</w:t>
      </w:r>
    </w:p>
    <w:p w14:paraId="3B7092CD">
      <w:pPr>
        <w:widowControl/>
        <w:adjustRightInd w:val="0"/>
        <w:snapToGrid w:val="0"/>
        <w:spacing w:line="440" w:lineRule="atLeast"/>
        <w:ind w:firstLine="480" w:firstLineChars="200"/>
        <w:jc w:val="left"/>
        <w:rPr>
          <w:rFonts w:ascii="宋体" w:hAnsi="宋体" w:cs="宋体"/>
          <w:kern w:val="0"/>
          <w:sz w:val="24"/>
        </w:rPr>
      </w:pPr>
      <w:r>
        <w:rPr>
          <w:rFonts w:hint="eastAsia" w:ascii="宋体" w:hAnsi="宋体" w:cs="宋体"/>
          <w:kern w:val="0"/>
          <w:sz w:val="24"/>
        </w:rPr>
        <w:t>1、合同签订：在</w:t>
      </w:r>
      <w:r>
        <w:rPr>
          <w:rFonts w:hint="eastAsia" w:ascii="宋体" w:hAnsi="宋体" w:cs="宋体"/>
          <w:kern w:val="0"/>
          <w:sz w:val="24"/>
          <w:lang w:eastAsia="zh-CN"/>
        </w:rPr>
        <w:t>竞得</w:t>
      </w:r>
      <w:r>
        <w:rPr>
          <w:rFonts w:hint="eastAsia" w:ascii="宋体" w:hAnsi="宋体" w:cs="宋体"/>
          <w:kern w:val="0"/>
          <w:sz w:val="24"/>
        </w:rPr>
        <w:t>后</w:t>
      </w:r>
      <w:r>
        <w:rPr>
          <w:rFonts w:hint="eastAsia" w:ascii="宋体" w:hAnsi="宋体" w:cs="宋体"/>
          <w:kern w:val="0"/>
          <w:sz w:val="24"/>
          <w:lang w:val="en-US" w:eastAsia="zh-CN"/>
        </w:rPr>
        <w:t>5</w:t>
      </w:r>
      <w:r>
        <w:rPr>
          <w:rFonts w:hint="eastAsia" w:ascii="宋体" w:hAnsi="宋体" w:cs="宋体"/>
          <w:kern w:val="0"/>
          <w:sz w:val="24"/>
        </w:rPr>
        <w:t>个工作日内签订。</w:t>
      </w:r>
    </w:p>
    <w:p w14:paraId="68BC8468">
      <w:pPr>
        <w:widowControl/>
        <w:adjustRightInd w:val="0"/>
        <w:snapToGrid w:val="0"/>
        <w:spacing w:line="440" w:lineRule="atLeast"/>
        <w:ind w:firstLine="480" w:firstLineChars="200"/>
        <w:jc w:val="left"/>
        <w:rPr>
          <w:rFonts w:ascii="宋体" w:hAnsi="宋体" w:cs="宋体"/>
          <w:kern w:val="0"/>
          <w:sz w:val="24"/>
        </w:rPr>
      </w:pPr>
      <w:r>
        <w:rPr>
          <w:rFonts w:hint="eastAsia" w:ascii="宋体" w:hAnsi="宋体" w:cs="宋体"/>
          <w:kern w:val="0"/>
          <w:sz w:val="24"/>
        </w:rPr>
        <w:t>2、交货时间：</w:t>
      </w:r>
      <w:r>
        <w:rPr>
          <w:rFonts w:ascii="宋体" w:hAnsi="宋体" w:cs="宋体"/>
          <w:kern w:val="0"/>
          <w:sz w:val="24"/>
        </w:rPr>
        <w:t>20</w:t>
      </w:r>
      <w:r>
        <w:rPr>
          <w:rFonts w:hint="eastAsia" w:ascii="宋体" w:hAnsi="宋体" w:cs="宋体"/>
          <w:kern w:val="0"/>
          <w:sz w:val="24"/>
        </w:rPr>
        <w:t>2</w:t>
      </w:r>
      <w:r>
        <w:rPr>
          <w:rFonts w:hint="eastAsia" w:ascii="宋体" w:hAnsi="宋体" w:cs="宋体"/>
          <w:kern w:val="0"/>
          <w:sz w:val="24"/>
          <w:lang w:val="en-US" w:eastAsia="zh-CN"/>
        </w:rPr>
        <w:t>5</w:t>
      </w:r>
      <w:r>
        <w:rPr>
          <w:rFonts w:hint="eastAsia" w:ascii="宋体" w:hAnsi="宋体" w:cs="宋体"/>
          <w:kern w:val="0"/>
          <w:sz w:val="24"/>
        </w:rPr>
        <w:t>年</w:t>
      </w:r>
      <w:r>
        <w:rPr>
          <w:rFonts w:hint="eastAsia" w:ascii="宋体" w:hAnsi="宋体" w:cs="宋体"/>
          <w:kern w:val="0"/>
          <w:sz w:val="24"/>
          <w:lang w:val="en-US" w:eastAsia="zh-CN"/>
        </w:rPr>
        <w:t>11</w:t>
      </w:r>
      <w:r>
        <w:rPr>
          <w:rFonts w:hint="eastAsia" w:ascii="宋体" w:hAnsi="宋体" w:cs="宋体"/>
          <w:kern w:val="0"/>
          <w:sz w:val="24"/>
        </w:rPr>
        <w:t>月</w:t>
      </w:r>
      <w:r>
        <w:rPr>
          <w:rFonts w:hint="eastAsia" w:ascii="宋体" w:hAnsi="宋体" w:cs="宋体"/>
          <w:kern w:val="0"/>
          <w:sz w:val="24"/>
          <w:lang w:val="en-US" w:eastAsia="zh-CN"/>
        </w:rPr>
        <w:t>7</w:t>
      </w:r>
      <w:r>
        <w:rPr>
          <w:rFonts w:hint="eastAsia" w:ascii="宋体" w:hAnsi="宋体" w:cs="宋体"/>
          <w:kern w:val="0"/>
          <w:sz w:val="24"/>
        </w:rPr>
        <w:t>日至</w:t>
      </w:r>
      <w:r>
        <w:rPr>
          <w:rFonts w:ascii="宋体" w:hAnsi="宋体" w:cs="宋体"/>
          <w:kern w:val="0"/>
          <w:sz w:val="24"/>
        </w:rPr>
        <w:t>20</w:t>
      </w:r>
      <w:r>
        <w:rPr>
          <w:rFonts w:hint="eastAsia" w:ascii="宋体" w:hAnsi="宋体" w:cs="宋体"/>
          <w:kern w:val="0"/>
          <w:sz w:val="24"/>
        </w:rPr>
        <w:t>2</w:t>
      </w:r>
      <w:r>
        <w:rPr>
          <w:rFonts w:hint="eastAsia" w:ascii="宋体" w:hAnsi="宋体" w:cs="宋体"/>
          <w:kern w:val="0"/>
          <w:sz w:val="24"/>
          <w:lang w:val="en-US" w:eastAsia="zh-CN"/>
        </w:rPr>
        <w:t>5</w:t>
      </w:r>
      <w:r>
        <w:rPr>
          <w:rFonts w:hint="eastAsia" w:ascii="宋体" w:hAnsi="宋体" w:cs="宋体"/>
          <w:kern w:val="0"/>
          <w:sz w:val="24"/>
        </w:rPr>
        <w:t>年1</w:t>
      </w:r>
      <w:r>
        <w:rPr>
          <w:rFonts w:ascii="宋体" w:hAnsi="宋体" w:cs="宋体"/>
          <w:kern w:val="0"/>
          <w:sz w:val="24"/>
        </w:rPr>
        <w:t>1</w:t>
      </w:r>
      <w:r>
        <w:rPr>
          <w:rFonts w:hint="eastAsia" w:ascii="宋体" w:hAnsi="宋体" w:cs="宋体"/>
          <w:kern w:val="0"/>
          <w:sz w:val="24"/>
        </w:rPr>
        <w:t>月</w:t>
      </w:r>
      <w:r>
        <w:rPr>
          <w:rFonts w:hint="eastAsia" w:ascii="宋体" w:hAnsi="宋体" w:cs="宋体"/>
          <w:kern w:val="0"/>
          <w:sz w:val="24"/>
          <w:lang w:val="en-US" w:eastAsia="zh-CN"/>
        </w:rPr>
        <w:t>25</w:t>
      </w:r>
      <w:r>
        <w:rPr>
          <w:rFonts w:hint="eastAsia" w:ascii="宋体" w:hAnsi="宋体" w:cs="宋体"/>
          <w:kern w:val="0"/>
          <w:sz w:val="24"/>
        </w:rPr>
        <w:t>日。</w:t>
      </w:r>
    </w:p>
    <w:p w14:paraId="233083FE">
      <w:pPr>
        <w:widowControl/>
        <w:adjustRightInd w:val="0"/>
        <w:snapToGrid w:val="0"/>
        <w:spacing w:line="440" w:lineRule="atLeast"/>
        <w:ind w:firstLine="480" w:firstLineChars="200"/>
        <w:jc w:val="left"/>
        <w:rPr>
          <w:rFonts w:ascii="微软雅黑" w:hAnsi="微软雅黑" w:eastAsia="微软雅黑" w:cs="微软雅黑"/>
          <w:color w:val="000000"/>
          <w:sz w:val="27"/>
          <w:szCs w:val="27"/>
        </w:rPr>
      </w:pPr>
      <w:r>
        <w:rPr>
          <w:rFonts w:hint="eastAsia" w:ascii="宋体" w:hAnsi="宋体" w:cs="宋体"/>
          <w:kern w:val="0"/>
          <w:sz w:val="24"/>
        </w:rPr>
        <w:t>3、</w:t>
      </w:r>
      <w:r>
        <w:rPr>
          <w:rFonts w:hint="eastAsia" w:ascii="宋体" w:hAnsi="宋体" w:cs="宋体"/>
          <w:color w:val="000000"/>
          <w:sz w:val="24"/>
        </w:rPr>
        <w:t>验收地点、方法：验收地点，标的物所在仓点。验收方法，：需方对供方的数量（箱数）及包装物（纸箱）进行清点与验收；质量：交货前</w:t>
      </w:r>
      <w:r>
        <w:rPr>
          <w:rFonts w:hint="eastAsia" w:ascii="宋体" w:hAnsi="宋体" w:cs="宋体"/>
          <w:color w:val="000000"/>
          <w:sz w:val="24"/>
          <w:lang w:eastAsia="zh-CN"/>
        </w:rPr>
        <w:t>竞得</w:t>
      </w:r>
      <w:r>
        <w:rPr>
          <w:rFonts w:hint="eastAsia" w:ascii="宋体" w:hAnsi="宋体" w:cs="宋体"/>
          <w:color w:val="000000"/>
          <w:sz w:val="24"/>
        </w:rPr>
        <w:t>方需提供由CMA认证资质机构检测的一级大豆油质量报告单</w:t>
      </w:r>
      <w:r>
        <w:rPr>
          <w:rFonts w:hint="eastAsia" w:ascii="宋体" w:hAnsi="宋体" w:cs="宋体"/>
          <w:color w:val="000000"/>
          <w:sz w:val="24"/>
          <w:lang w:eastAsia="zh-CN"/>
        </w:rPr>
        <w:t>，</w:t>
      </w:r>
      <w:r>
        <w:rPr>
          <w:rFonts w:hint="eastAsia" w:ascii="宋体" w:hAnsi="宋体" w:cs="宋体"/>
          <w:color w:val="000000"/>
          <w:sz w:val="24"/>
          <w:shd w:val="clear" w:color="auto" w:fill="FFFFFF"/>
        </w:rPr>
        <w:t>随车提供</w:t>
      </w:r>
      <w:r>
        <w:rPr>
          <w:rFonts w:hint="eastAsia" w:ascii="宋体" w:hAnsi="宋体" w:cs="宋体"/>
          <w:color w:val="000000"/>
          <w:sz w:val="24"/>
          <w:shd w:val="clear" w:color="auto" w:fill="FFFFFF"/>
          <w:lang w:val="en-US" w:eastAsia="zh-CN"/>
        </w:rPr>
        <w:t>大豆</w:t>
      </w:r>
      <w:r>
        <w:rPr>
          <w:rFonts w:hint="eastAsia" w:ascii="宋体" w:hAnsi="宋体" w:cs="宋体"/>
          <w:color w:val="000000"/>
          <w:sz w:val="24"/>
          <w:shd w:val="clear" w:color="auto" w:fill="FFFFFF"/>
        </w:rPr>
        <w:t>油的出厂质量检验合格报告单。接收库点：</w:t>
      </w:r>
      <w:r>
        <w:rPr>
          <w:rFonts w:hint="eastAsia" w:ascii="宋体" w:hAnsi="宋体" w:cs="宋体"/>
          <w:kern w:val="0"/>
          <w:sz w:val="24"/>
        </w:rPr>
        <w:t>诸暨市粮食收储有限公司802粮库（需打进城通行证，早晚高峰禁入）</w:t>
      </w:r>
      <w:r>
        <w:rPr>
          <w:rFonts w:hint="eastAsia" w:cs="宋体"/>
          <w:kern w:val="0"/>
          <w:sz w:val="24"/>
        </w:rPr>
        <w:t>。</w:t>
      </w:r>
    </w:p>
    <w:p w14:paraId="17446491">
      <w:pPr>
        <w:widowControl/>
        <w:adjustRightInd w:val="0"/>
        <w:snapToGrid w:val="0"/>
        <w:spacing w:line="440" w:lineRule="atLeast"/>
        <w:ind w:firstLine="480" w:firstLineChars="200"/>
        <w:jc w:val="left"/>
        <w:rPr>
          <w:rFonts w:ascii="宋体" w:cs="宋体"/>
          <w:kern w:val="0"/>
          <w:sz w:val="24"/>
        </w:rPr>
      </w:pPr>
      <w:r>
        <w:rPr>
          <w:rFonts w:hint="eastAsia" w:ascii="宋体" w:hAnsi="宋体" w:cs="宋体"/>
          <w:kern w:val="0"/>
          <w:sz w:val="24"/>
        </w:rPr>
        <w:t>4、接收时间：工作日8：00-17：00。</w:t>
      </w:r>
    </w:p>
    <w:p w14:paraId="35D2D87B">
      <w:pPr>
        <w:widowControl/>
        <w:adjustRightInd w:val="0"/>
        <w:snapToGrid w:val="0"/>
        <w:spacing w:line="440" w:lineRule="atLeast"/>
        <w:ind w:firstLine="480" w:firstLineChars="200"/>
        <w:jc w:val="left"/>
        <w:rPr>
          <w:rFonts w:ascii="宋体" w:cs="宋体"/>
          <w:kern w:val="0"/>
          <w:sz w:val="24"/>
        </w:rPr>
      </w:pPr>
      <w:r>
        <w:rPr>
          <w:rFonts w:hint="eastAsia" w:ascii="宋体" w:hAnsi="宋体" w:cs="宋体"/>
          <w:color w:val="000000"/>
          <w:kern w:val="0"/>
          <w:sz w:val="24"/>
        </w:rPr>
        <w:t>三、货款结算方式、期限：</w:t>
      </w:r>
    </w:p>
    <w:p w14:paraId="74C7BD4C">
      <w:pPr>
        <w:pStyle w:val="5"/>
        <w:widowControl/>
        <w:spacing w:line="495" w:lineRule="atLeast"/>
        <w:ind w:firstLine="480"/>
        <w:rPr>
          <w:rFonts w:hint="eastAsia" w:ascii="宋体" w:hAnsi="宋体" w:cs="宋体"/>
          <w:b/>
          <w:bCs/>
          <w:color w:val="000000"/>
          <w:highlight w:val="green"/>
        </w:rPr>
      </w:pPr>
      <w:r>
        <w:rPr>
          <w:rFonts w:hint="eastAsia" w:ascii="宋体" w:hAnsi="宋体" w:cs="宋体"/>
          <w:color w:val="000000"/>
        </w:rPr>
        <w:t>货款结算期限：先货后款。交割完毕且双方书面确认后，委托</w:t>
      </w:r>
      <w:r>
        <w:rPr>
          <w:rFonts w:hint="eastAsia" w:ascii="宋体" w:hAnsi="宋体" w:cs="宋体"/>
          <w:color w:val="000000"/>
          <w:lang w:val="en-US" w:eastAsia="zh-CN"/>
        </w:rPr>
        <w:t>有资质的第三方检验机构</w:t>
      </w:r>
      <w:r>
        <w:rPr>
          <w:rFonts w:hint="eastAsia" w:ascii="宋体" w:hAnsi="宋体" w:cs="宋体"/>
          <w:color w:val="000000"/>
        </w:rPr>
        <w:t>进行质量鉴定，出具的竞得方交割粮食的检验结果符合约定要求的，自收到检验报告之日起</w:t>
      </w:r>
      <w:r>
        <w:rPr>
          <w:rFonts w:hint="eastAsia" w:ascii="宋体" w:hAnsi="宋体" w:cs="宋体"/>
          <w:color w:val="000000"/>
          <w:lang w:val="en-US" w:eastAsia="zh-CN"/>
        </w:rPr>
        <w:t>10</w:t>
      </w:r>
      <w:r>
        <w:rPr>
          <w:rFonts w:hint="eastAsia" w:ascii="宋体" w:hAnsi="宋体" w:cs="宋体"/>
          <w:color w:val="000000"/>
        </w:rPr>
        <w:t>个工作日内，</w:t>
      </w:r>
      <w:r>
        <w:rPr>
          <w:rFonts w:hint="eastAsia" w:ascii="宋体" w:hAnsi="宋体" w:cs="宋体"/>
          <w:b/>
          <w:bCs/>
          <w:color w:val="000000"/>
          <w:highlight w:val="green"/>
        </w:rPr>
        <w:t>支付全部货款(支付账户为第三方账户，账户信息:户名:杭州粮油物流中心批发交易市场有限公司;账号:20333999 9001 00000977 931;开户行:中国农业发展银行杭州市分行)。</w:t>
      </w:r>
    </w:p>
    <w:p w14:paraId="2DB60BEA">
      <w:pPr>
        <w:widowControl/>
        <w:spacing w:line="440" w:lineRule="atLeast"/>
        <w:ind w:firstLine="480" w:firstLineChars="200"/>
        <w:jc w:val="left"/>
        <w:rPr>
          <w:rFonts w:ascii="宋体" w:cs="宋体"/>
          <w:bCs/>
          <w:color w:val="000000" w:themeColor="text1"/>
          <w:kern w:val="0"/>
          <w:sz w:val="24"/>
          <w14:textFill>
            <w14:solidFill>
              <w14:schemeClr w14:val="tx1"/>
            </w14:solidFill>
          </w14:textFill>
        </w:rPr>
      </w:pPr>
      <w:r>
        <w:rPr>
          <w:rFonts w:hint="eastAsia" w:ascii="宋体" w:hAnsi="宋体" w:cs="宋体"/>
          <w:bCs/>
          <w:color w:val="000000" w:themeColor="text1"/>
          <w:kern w:val="0"/>
          <w:sz w:val="24"/>
          <w14:textFill>
            <w14:solidFill>
              <w14:schemeClr w14:val="tx1"/>
            </w14:solidFill>
          </w14:textFill>
        </w:rPr>
        <w:t>四、违约责任：</w:t>
      </w:r>
    </w:p>
    <w:p w14:paraId="3BF3DADD">
      <w:pPr>
        <w:pStyle w:val="5"/>
        <w:widowControl/>
        <w:spacing w:line="440" w:lineRule="atLeast"/>
        <w:ind w:firstLine="480"/>
        <w:rPr>
          <w:rFonts w:ascii="微软雅黑" w:hAnsi="微软雅黑" w:eastAsia="微软雅黑" w:cs="微软雅黑"/>
          <w:color w:val="000000"/>
          <w:sz w:val="27"/>
          <w:szCs w:val="27"/>
        </w:rPr>
      </w:pPr>
      <w:r>
        <w:rPr>
          <w:rFonts w:hint="eastAsia" w:ascii="宋体" w:hAnsi="宋体" w:cs="宋体"/>
          <w:color w:val="000000"/>
        </w:rPr>
        <w:t>1、</w:t>
      </w:r>
      <w:r>
        <w:rPr>
          <w:rFonts w:hint="eastAsia" w:ascii="宋体" w:hAnsi="宋体" w:cs="宋体"/>
          <w:color w:val="000000"/>
          <w:lang w:eastAsia="zh-CN"/>
        </w:rPr>
        <w:t>竞得</w:t>
      </w:r>
      <w:r>
        <w:rPr>
          <w:rFonts w:hint="eastAsia" w:ascii="宋体" w:hAnsi="宋体" w:cs="宋体"/>
          <w:color w:val="000000"/>
        </w:rPr>
        <w:t>后</w:t>
      </w:r>
      <w:r>
        <w:rPr>
          <w:rFonts w:hint="eastAsia" w:ascii="宋体" w:hAnsi="宋体" w:cs="宋体"/>
          <w:color w:val="000000"/>
          <w:lang w:val="en-US" w:eastAsia="zh-CN"/>
        </w:rPr>
        <w:t>5</w:t>
      </w:r>
      <w:r>
        <w:rPr>
          <w:rFonts w:hint="eastAsia" w:ascii="宋体" w:hAnsi="宋体" w:cs="宋体"/>
          <w:color w:val="000000"/>
        </w:rPr>
        <w:t>个工作日内签订购销合同，逾期不签一方视作违约。</w:t>
      </w:r>
    </w:p>
    <w:p w14:paraId="1520155F">
      <w:pPr>
        <w:pStyle w:val="5"/>
        <w:widowControl/>
        <w:spacing w:line="440" w:lineRule="atLeast"/>
        <w:ind w:firstLine="480"/>
        <w:rPr>
          <w:rFonts w:ascii="微软雅黑" w:hAnsi="微软雅黑" w:eastAsia="微软雅黑" w:cs="微软雅黑"/>
          <w:color w:val="000000"/>
          <w:sz w:val="27"/>
          <w:szCs w:val="27"/>
        </w:rPr>
      </w:pPr>
      <w:r>
        <w:rPr>
          <w:rFonts w:hint="eastAsia" w:ascii="宋体" w:hAnsi="宋体" w:cs="宋体"/>
          <w:color w:val="454545"/>
        </w:rPr>
        <w:t>2、</w:t>
      </w:r>
      <w:r>
        <w:rPr>
          <w:rFonts w:hint="eastAsia" w:ascii="宋体" w:hAnsi="宋体" w:cs="宋体"/>
          <w:color w:val="000000"/>
          <w:shd w:val="clear" w:color="auto" w:fill="FFFFFF"/>
        </w:rPr>
        <w:t>质量未达要求</w:t>
      </w:r>
      <w:r>
        <w:rPr>
          <w:rFonts w:hint="eastAsia" w:ascii="宋体" w:hAnsi="宋体" w:cs="宋体"/>
          <w:color w:val="000000"/>
        </w:rPr>
        <w:t>，</w:t>
      </w:r>
      <w:r>
        <w:rPr>
          <w:rFonts w:hint="eastAsia" w:ascii="宋体" w:hAnsi="宋体" w:cs="宋体"/>
          <w:color w:val="000000"/>
          <w:shd w:val="clear" w:color="auto" w:fill="FFFFFF"/>
        </w:rPr>
        <w:t>需方单方面可采取以下方法处理：（1）10天内由供方调换成符合本公告质量要求的</w:t>
      </w:r>
      <w:r>
        <w:rPr>
          <w:rFonts w:hint="eastAsia" w:ascii="宋体" w:hAnsi="宋体" w:cs="宋体"/>
          <w:color w:val="000000"/>
          <w:shd w:val="clear" w:color="auto" w:fill="FFFFFF"/>
          <w:lang w:val="en-US" w:eastAsia="zh-CN"/>
        </w:rPr>
        <w:t>大豆</w:t>
      </w:r>
      <w:r>
        <w:rPr>
          <w:rFonts w:hint="eastAsia" w:ascii="宋体" w:hAnsi="宋体" w:cs="宋体"/>
          <w:color w:val="000000"/>
          <w:shd w:val="clear" w:color="auto" w:fill="FFFFFF"/>
        </w:rPr>
        <w:t>油，由此产生的一切损失由供方承担，或（2）</w:t>
      </w:r>
      <w:r>
        <w:rPr>
          <w:rFonts w:hint="eastAsia" w:ascii="宋体" w:hAnsi="宋体" w:cs="宋体"/>
          <w:color w:val="000000"/>
        </w:rPr>
        <w:t>需方有权单方面</w:t>
      </w:r>
      <w:r>
        <w:rPr>
          <w:rFonts w:hint="eastAsia" w:ascii="宋体" w:hAnsi="宋体" w:cs="宋体"/>
          <w:color w:val="000000"/>
          <w:lang w:eastAsia="zh-CN"/>
        </w:rPr>
        <w:t>终止</w:t>
      </w:r>
      <w:r>
        <w:rPr>
          <w:rFonts w:hint="eastAsia" w:ascii="宋体" w:hAnsi="宋体" w:cs="宋体"/>
          <w:color w:val="000000"/>
        </w:rPr>
        <w:t>合同，同时供方交纳的该标的物的履约保证金及20%货款，赔付给需方，同时退回货物。</w:t>
      </w:r>
    </w:p>
    <w:p w14:paraId="0AE0A320">
      <w:pPr>
        <w:pStyle w:val="5"/>
        <w:widowControl/>
        <w:spacing w:line="440" w:lineRule="atLeast"/>
        <w:ind w:firstLine="555"/>
        <w:rPr>
          <w:rFonts w:ascii="微软雅黑" w:hAnsi="微软雅黑" w:eastAsia="微软雅黑" w:cs="微软雅黑"/>
          <w:color w:val="000000"/>
          <w:sz w:val="27"/>
          <w:szCs w:val="27"/>
        </w:rPr>
      </w:pPr>
      <w:r>
        <w:rPr>
          <w:rFonts w:hint="eastAsia" w:ascii="宋体" w:hAnsi="宋体" w:cs="宋体"/>
          <w:color w:val="000000"/>
          <w:shd w:val="clear" w:color="auto" w:fill="FFFFFF"/>
        </w:rPr>
        <w:t>3、</w:t>
      </w:r>
      <w:r>
        <w:rPr>
          <w:rFonts w:hint="eastAsia" w:ascii="宋体" w:hAnsi="宋体" w:cs="宋体"/>
          <w:color w:val="000000"/>
        </w:rPr>
        <w:t>交货时间超过</w:t>
      </w:r>
      <w:r>
        <w:rPr>
          <w:rFonts w:ascii="宋体" w:hAnsi="宋体" w:cs="宋体"/>
          <w:color w:val="000000"/>
        </w:rPr>
        <w:t>3</w:t>
      </w:r>
      <w:r>
        <w:rPr>
          <w:rFonts w:hint="eastAsia" w:ascii="宋体" w:hAnsi="宋体" w:cs="宋体"/>
          <w:color w:val="000000"/>
        </w:rPr>
        <w:t>天按违约处理，需方有权终止合同。相关责任由供方负责。</w:t>
      </w:r>
    </w:p>
    <w:p w14:paraId="7C8E142E">
      <w:pPr>
        <w:pStyle w:val="5"/>
        <w:spacing w:line="440" w:lineRule="exact"/>
        <w:ind w:firstLine="480" w:firstLineChars="200"/>
        <w:rPr>
          <w:rFonts w:ascii="宋体" w:hAnsi="宋体" w:cs="宋体"/>
          <w:color w:val="000000"/>
          <w:kern w:val="0"/>
          <w:sz w:val="27"/>
          <w:szCs w:val="27"/>
        </w:rPr>
      </w:pPr>
      <w:r>
        <w:rPr>
          <w:rFonts w:hint="eastAsia" w:ascii="宋体" w:hAnsi="宋体" w:cs="宋体"/>
          <w:color w:val="000000"/>
          <w:kern w:val="0"/>
        </w:rPr>
        <w:t>五、报名条件</w:t>
      </w:r>
    </w:p>
    <w:p w14:paraId="0C71784A">
      <w:pPr>
        <w:widowControl/>
        <w:spacing w:line="440" w:lineRule="exact"/>
        <w:ind w:firstLine="480" w:firstLineChars="200"/>
        <w:jc w:val="left"/>
        <w:rPr>
          <w:rFonts w:hint="eastAsia" w:ascii="宋体" w:hAnsi="宋体"/>
          <w:bCs/>
          <w:color w:val="000000"/>
          <w:sz w:val="24"/>
        </w:rPr>
      </w:pPr>
      <w:r>
        <w:rPr>
          <w:rFonts w:hint="eastAsia" w:ascii="宋体" w:hAnsi="宋体"/>
          <w:bCs/>
          <w:color w:val="000000"/>
          <w:sz w:val="24"/>
        </w:rPr>
        <w:t>具有粮</w:t>
      </w:r>
      <w:r>
        <w:rPr>
          <w:rFonts w:hint="eastAsia" w:ascii="宋体" w:hAnsi="宋体"/>
          <w:bCs/>
          <w:color w:val="000000"/>
          <w:sz w:val="24"/>
          <w:lang w:val="en-US" w:eastAsia="zh-CN"/>
        </w:rPr>
        <w:t>油</w:t>
      </w:r>
      <w:r>
        <w:rPr>
          <w:rFonts w:hint="eastAsia" w:ascii="宋体" w:hAnsi="宋体"/>
          <w:bCs/>
          <w:color w:val="000000"/>
          <w:sz w:val="24"/>
        </w:rPr>
        <w:t>经营范围的有效营业执照并有较强社会责任意识的国内油脂生产经营企业（需提供油脂类生产许可证或经营许可证）</w:t>
      </w:r>
      <w:r>
        <w:rPr>
          <w:rFonts w:hint="eastAsia" w:ascii="宋体" w:hAnsi="宋体"/>
          <w:bCs/>
          <w:color w:val="000000"/>
          <w:sz w:val="24"/>
          <w:lang w:eastAsia="zh-CN"/>
        </w:rPr>
        <w:t>，</w:t>
      </w:r>
      <w:r>
        <w:rPr>
          <w:rFonts w:hint="eastAsia" w:ascii="宋体" w:hAnsi="宋体"/>
          <w:bCs/>
          <w:color w:val="000000"/>
          <w:sz w:val="24"/>
        </w:rPr>
        <w:t>经资格审查合格后方可参加交易。</w:t>
      </w:r>
    </w:p>
    <w:p w14:paraId="66DEAC48">
      <w:pPr>
        <w:widowControl/>
        <w:adjustRightInd w:val="0"/>
        <w:snapToGrid w:val="0"/>
        <w:spacing w:line="440" w:lineRule="atLeast"/>
        <w:ind w:firstLine="480" w:firstLineChars="200"/>
        <w:jc w:val="left"/>
        <w:rPr>
          <w:rFonts w:ascii="宋体" w:cs="宋体"/>
          <w:kern w:val="0"/>
          <w:sz w:val="24"/>
        </w:rPr>
      </w:pPr>
      <w:r>
        <w:rPr>
          <w:rFonts w:hint="eastAsia" w:ascii="宋体" w:hAnsi="宋体" w:cs="宋体"/>
          <w:color w:val="000000"/>
          <w:kern w:val="0"/>
          <w:sz w:val="24"/>
        </w:rPr>
        <w:t>六、其他：</w:t>
      </w:r>
    </w:p>
    <w:p w14:paraId="07844610">
      <w:pPr>
        <w:pStyle w:val="5"/>
        <w:widowControl/>
        <w:spacing w:line="495" w:lineRule="atLeast"/>
        <w:ind w:firstLine="480"/>
        <w:rPr>
          <w:rFonts w:ascii="微软雅黑" w:hAnsi="微软雅黑" w:eastAsia="微软雅黑" w:cs="微软雅黑"/>
          <w:color w:val="000000"/>
          <w:sz w:val="27"/>
          <w:szCs w:val="27"/>
        </w:rPr>
      </w:pPr>
      <w:r>
        <w:rPr>
          <w:rFonts w:hint="eastAsia" w:ascii="宋体" w:hAnsi="宋体" w:cs="宋体"/>
          <w:color w:val="000000"/>
        </w:rPr>
        <w:t>1、</w:t>
      </w:r>
      <w:r>
        <w:rPr>
          <w:rStyle w:val="8"/>
          <w:rFonts w:hint="eastAsia" w:ascii="宋体" w:hAnsi="宋体" w:cs="宋体"/>
          <w:b w:val="0"/>
          <w:bCs/>
          <w:color w:val="000000" w:themeColor="text1"/>
          <w:lang w:eastAsia="zh-CN"/>
          <w14:textFill>
            <w14:solidFill>
              <w14:schemeClr w14:val="tx1"/>
            </w14:solidFill>
          </w14:textFill>
        </w:rPr>
        <w:t>竞得</w:t>
      </w:r>
      <w:r>
        <w:rPr>
          <w:rStyle w:val="8"/>
          <w:rFonts w:hint="eastAsia" w:ascii="宋体" w:hAnsi="宋体" w:cs="宋体"/>
          <w:b w:val="0"/>
          <w:bCs/>
          <w:color w:val="000000" w:themeColor="text1"/>
          <w14:textFill>
            <w14:solidFill>
              <w14:schemeClr w14:val="tx1"/>
            </w14:solidFill>
          </w14:textFill>
        </w:rPr>
        <w:t>后，</w:t>
      </w:r>
      <w:r>
        <w:rPr>
          <w:rStyle w:val="8"/>
          <w:rFonts w:hint="eastAsia" w:ascii="宋体" w:hAnsi="宋体" w:cs="宋体"/>
          <w:b w:val="0"/>
          <w:bCs/>
          <w:color w:val="000000" w:themeColor="text1"/>
          <w:lang w:val="en-US" w:eastAsia="zh-CN"/>
          <w14:textFill>
            <w14:solidFill>
              <w14:schemeClr w14:val="tx1"/>
            </w14:solidFill>
          </w14:textFill>
        </w:rPr>
        <w:t>大豆油</w:t>
      </w:r>
      <w:r>
        <w:rPr>
          <w:rStyle w:val="8"/>
          <w:rFonts w:hint="eastAsia" w:ascii="宋体" w:hAnsi="宋体" w:cs="宋体"/>
          <w:b w:val="0"/>
          <w:bCs/>
          <w:color w:val="000000" w:themeColor="text1"/>
          <w14:textFill>
            <w14:solidFill>
              <w14:schemeClr w14:val="tx1"/>
            </w14:solidFill>
          </w14:textFill>
        </w:rPr>
        <w:t>生产单位或经营企业提供承诺书</w:t>
      </w:r>
      <w:r>
        <w:rPr>
          <w:rFonts w:hint="eastAsia" w:ascii="宋体" w:hAnsi="宋体" w:cs="宋体"/>
          <w:bCs/>
          <w:color w:val="000000" w:themeColor="text1"/>
          <w14:textFill>
            <w14:solidFill>
              <w14:schemeClr w14:val="tx1"/>
            </w14:solidFill>
          </w14:textFill>
        </w:rPr>
        <w:t>：</w:t>
      </w:r>
      <w:r>
        <w:rPr>
          <w:rFonts w:hint="eastAsia" w:ascii="宋体" w:hAnsi="宋体" w:cs="宋体"/>
          <w:color w:val="000000"/>
          <w:lang w:val="en-US" w:eastAsia="zh-CN"/>
        </w:rPr>
        <w:t>大豆</w:t>
      </w:r>
      <w:r>
        <w:rPr>
          <w:rFonts w:hint="eastAsia" w:ascii="宋体" w:hAnsi="宋体" w:cs="宋体"/>
          <w:color w:val="000000"/>
        </w:rPr>
        <w:t>油保质期内，供方对瓶内数量、质量负全责。</w:t>
      </w:r>
    </w:p>
    <w:p w14:paraId="707C2D22">
      <w:pPr>
        <w:pStyle w:val="5"/>
        <w:widowControl/>
        <w:spacing w:line="495" w:lineRule="atLeast"/>
        <w:ind w:firstLine="480"/>
        <w:rPr>
          <w:rFonts w:hint="eastAsia" w:ascii="宋体" w:hAnsi="宋体" w:cs="宋体"/>
          <w:color w:val="000000"/>
        </w:rPr>
      </w:pPr>
      <w:r>
        <w:rPr>
          <w:rFonts w:hint="eastAsia" w:ascii="宋体" w:hAnsi="宋体" w:cs="宋体"/>
          <w:color w:val="000000"/>
          <w:lang w:val="en-US" w:eastAsia="zh-CN"/>
        </w:rPr>
        <w:t>2</w:t>
      </w:r>
      <w:r>
        <w:rPr>
          <w:rFonts w:hint="eastAsia" w:ascii="宋体" w:hAnsi="宋体" w:cs="宋体"/>
          <w:color w:val="000000"/>
        </w:rPr>
        <w:t>、</w:t>
      </w:r>
      <w:r>
        <w:rPr>
          <w:rFonts w:hint="eastAsia" w:ascii="宋体" w:hAnsi="宋体"/>
          <w:color w:val="FF0000"/>
          <w:lang w:eastAsia="zh-CN"/>
        </w:rPr>
        <w:t>竞得</w:t>
      </w:r>
      <w:r>
        <w:rPr>
          <w:rFonts w:hint="eastAsia" w:ascii="宋体" w:hAnsi="宋体"/>
          <w:color w:val="FF0000"/>
        </w:rPr>
        <w:t>交易费由</w:t>
      </w:r>
      <w:r>
        <w:rPr>
          <w:rFonts w:hint="eastAsia" w:ascii="宋体" w:hAnsi="宋体"/>
          <w:color w:val="FF0000"/>
          <w:lang w:eastAsia="zh-CN"/>
        </w:rPr>
        <w:t>竞得</w:t>
      </w:r>
      <w:r>
        <w:rPr>
          <w:rFonts w:hint="eastAsia" w:ascii="宋体" w:hAnsi="宋体"/>
          <w:color w:val="FF0000"/>
        </w:rPr>
        <w:t>方支付</w:t>
      </w:r>
      <w:r>
        <w:rPr>
          <w:rFonts w:hint="eastAsia" w:ascii="宋体" w:hAnsi="宋体" w:cs="宋体"/>
          <w:color w:val="000000"/>
        </w:rPr>
        <w:t>。</w:t>
      </w:r>
    </w:p>
    <w:p w14:paraId="206EBAF3">
      <w:pPr>
        <w:pStyle w:val="5"/>
        <w:widowControl/>
        <w:spacing w:line="495" w:lineRule="atLeast"/>
        <w:ind w:firstLine="480"/>
        <w:rPr>
          <w:rFonts w:hint="default" w:ascii="宋体" w:hAnsi="宋体" w:eastAsia="宋体" w:cs="宋体"/>
          <w:color w:val="FF0000"/>
          <w:lang w:val="en-US" w:eastAsia="zh-CN"/>
        </w:rPr>
      </w:pPr>
      <w:r>
        <w:rPr>
          <w:rFonts w:hint="eastAsia" w:ascii="宋体" w:hAnsi="宋体" w:cs="宋体"/>
          <w:color w:val="000000"/>
          <w:lang w:val="en-US" w:eastAsia="zh-CN"/>
        </w:rPr>
        <w:t>3、</w:t>
      </w:r>
      <w:r>
        <w:rPr>
          <w:rFonts w:hint="eastAsia" w:ascii="宋体" w:hAnsi="宋体" w:cs="宋体"/>
          <w:color w:val="FF0000"/>
          <w:lang w:val="en-US" w:eastAsia="zh-CN"/>
        </w:rPr>
        <w:t>竞得方应提前与大豆油销售的竞得方协商，入库和出库数量事宜。</w:t>
      </w:r>
    </w:p>
    <w:p w14:paraId="762C0F8B"/>
    <w:p w14:paraId="135D3AAA">
      <w:pPr>
        <w:spacing w:line="440" w:lineRule="atLeast"/>
        <w:ind w:firstLine="480" w:firstLineChars="200"/>
        <w:rPr>
          <w:rFonts w:ascii="宋体" w:hAnsi="宋体"/>
          <w:sz w:val="24"/>
        </w:rPr>
      </w:pPr>
    </w:p>
    <w:p w14:paraId="7AA04646">
      <w:pPr>
        <w:spacing w:line="360" w:lineRule="atLeast"/>
        <w:ind w:firstLine="480" w:firstLineChars="200"/>
        <w:rPr>
          <w:rFonts w:ascii="宋体" w:hAnsi="宋体"/>
          <w:sz w:val="24"/>
        </w:rPr>
      </w:pPr>
    </w:p>
    <w:p w14:paraId="4D5F2A80">
      <w:pPr>
        <w:adjustRightInd w:val="0"/>
        <w:snapToGrid w:val="0"/>
        <w:spacing w:line="420" w:lineRule="exact"/>
        <w:ind w:firstLine="480" w:firstLineChars="200"/>
        <w:jc w:val="right"/>
        <w:rPr>
          <w:rFonts w:hint="eastAsia" w:ascii="宋体" w:hAnsi="宋体" w:cs="宋体"/>
          <w:color w:val="000000"/>
          <w:kern w:val="0"/>
          <w:sz w:val="24"/>
        </w:rPr>
      </w:pPr>
      <w:r>
        <w:rPr>
          <w:rFonts w:hint="eastAsia" w:ascii="宋体" w:hAnsi="宋体" w:cs="宋体"/>
          <w:color w:val="000000"/>
          <w:kern w:val="0"/>
          <w:sz w:val="24"/>
        </w:rPr>
        <w:t>国家粮食浙江交易中心绍兴分中心</w:t>
      </w:r>
    </w:p>
    <w:p w14:paraId="72CE490A">
      <w:pPr>
        <w:adjustRightInd w:val="0"/>
        <w:snapToGrid w:val="0"/>
        <w:spacing w:line="420" w:lineRule="exact"/>
        <w:ind w:firstLine="480" w:firstLineChars="200"/>
        <w:jc w:val="right"/>
        <w:rPr>
          <w:rFonts w:hint="eastAsia" w:ascii="宋体" w:hAnsi="宋体" w:cs="宋体"/>
          <w:color w:val="000000"/>
          <w:kern w:val="0"/>
          <w:sz w:val="24"/>
        </w:rPr>
      </w:pPr>
      <w:r>
        <w:rPr>
          <w:rFonts w:hint="eastAsia" w:ascii="宋体" w:hAnsi="宋体"/>
          <w:sz w:val="24"/>
        </w:rPr>
        <w:t>国家粮食浙江交易中心</w:t>
      </w:r>
    </w:p>
    <w:p w14:paraId="0DA6D72E">
      <w:pPr>
        <w:spacing w:line="360" w:lineRule="auto"/>
        <w:ind w:firstLine="480" w:firstLineChars="200"/>
        <w:jc w:val="right"/>
      </w:pPr>
      <w:r>
        <w:rPr>
          <w:rFonts w:hint="eastAsia" w:ascii="宋体" w:hAnsi="宋体"/>
          <w:sz w:val="24"/>
        </w:rPr>
        <w:t>二〇二五年</w:t>
      </w:r>
      <w:r>
        <w:rPr>
          <w:rFonts w:hint="eastAsia" w:ascii="宋体" w:hAnsi="宋体"/>
          <w:sz w:val="24"/>
          <w:lang w:val="en-US" w:eastAsia="zh-CN"/>
        </w:rPr>
        <w:t>十一</w:t>
      </w:r>
      <w:r>
        <w:rPr>
          <w:rFonts w:hint="eastAsia" w:ascii="宋体" w:hAnsi="宋体"/>
          <w:sz w:val="24"/>
        </w:rPr>
        <w:t>月</w:t>
      </w:r>
      <w:r>
        <w:rPr>
          <w:rFonts w:hint="eastAsia" w:ascii="宋体" w:hAnsi="宋体"/>
          <w:sz w:val="24"/>
          <w:lang w:val="en-US" w:eastAsia="zh-CN"/>
        </w:rPr>
        <w:t>四</w:t>
      </w:r>
      <w:r>
        <w:rPr>
          <w:rFonts w:hint="eastAsia" w:ascii="宋体" w:hAnsi="宋体"/>
          <w:sz w:val="24"/>
        </w:rPr>
        <w:t>日</w:t>
      </w:r>
    </w:p>
    <w:sectPr>
      <w:headerReference r:id="rId3" w:type="default"/>
      <w:pgSz w:w="11906" w:h="16838"/>
      <w:pgMar w:top="1440" w:right="1797" w:bottom="1440" w:left="1797"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55ACFA">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BFB"/>
    <w:rsid w:val="00002390"/>
    <w:rsid w:val="0000630B"/>
    <w:rsid w:val="00014F48"/>
    <w:rsid w:val="0001655F"/>
    <w:rsid w:val="00084A1A"/>
    <w:rsid w:val="00092211"/>
    <w:rsid w:val="00097738"/>
    <w:rsid w:val="000F1A63"/>
    <w:rsid w:val="00163AF3"/>
    <w:rsid w:val="00170CF5"/>
    <w:rsid w:val="00175164"/>
    <w:rsid w:val="001824E4"/>
    <w:rsid w:val="001832E8"/>
    <w:rsid w:val="00185C80"/>
    <w:rsid w:val="00196050"/>
    <w:rsid w:val="001A0B52"/>
    <w:rsid w:val="001A25C4"/>
    <w:rsid w:val="001B3BEF"/>
    <w:rsid w:val="001F6084"/>
    <w:rsid w:val="00206792"/>
    <w:rsid w:val="00223EFB"/>
    <w:rsid w:val="00227BB0"/>
    <w:rsid w:val="00257B35"/>
    <w:rsid w:val="00273F91"/>
    <w:rsid w:val="0027429C"/>
    <w:rsid w:val="0027553F"/>
    <w:rsid w:val="00275BBF"/>
    <w:rsid w:val="002A7FD6"/>
    <w:rsid w:val="002B0D5F"/>
    <w:rsid w:val="002B10D7"/>
    <w:rsid w:val="002C11B2"/>
    <w:rsid w:val="002D1147"/>
    <w:rsid w:val="002D2075"/>
    <w:rsid w:val="002D714C"/>
    <w:rsid w:val="002F62B1"/>
    <w:rsid w:val="00311E9B"/>
    <w:rsid w:val="00312438"/>
    <w:rsid w:val="00353AAF"/>
    <w:rsid w:val="0035488E"/>
    <w:rsid w:val="003654B5"/>
    <w:rsid w:val="00396A3F"/>
    <w:rsid w:val="003A4E08"/>
    <w:rsid w:val="003B2E3F"/>
    <w:rsid w:val="003C2177"/>
    <w:rsid w:val="003E0838"/>
    <w:rsid w:val="0040149F"/>
    <w:rsid w:val="0042243B"/>
    <w:rsid w:val="00442777"/>
    <w:rsid w:val="004665A3"/>
    <w:rsid w:val="004739BE"/>
    <w:rsid w:val="00475C70"/>
    <w:rsid w:val="0048460C"/>
    <w:rsid w:val="00486A0F"/>
    <w:rsid w:val="004A4BE4"/>
    <w:rsid w:val="004D6EE0"/>
    <w:rsid w:val="004E6EFE"/>
    <w:rsid w:val="005120BE"/>
    <w:rsid w:val="00512A00"/>
    <w:rsid w:val="00521FB5"/>
    <w:rsid w:val="005251A5"/>
    <w:rsid w:val="00544D6F"/>
    <w:rsid w:val="00582D60"/>
    <w:rsid w:val="005A11A8"/>
    <w:rsid w:val="005A22A9"/>
    <w:rsid w:val="005D5D84"/>
    <w:rsid w:val="005D70C9"/>
    <w:rsid w:val="00622CD4"/>
    <w:rsid w:val="00676331"/>
    <w:rsid w:val="00693CB8"/>
    <w:rsid w:val="006B0C37"/>
    <w:rsid w:val="006B14CA"/>
    <w:rsid w:val="006D6A6F"/>
    <w:rsid w:val="006F69B8"/>
    <w:rsid w:val="0071442E"/>
    <w:rsid w:val="00715A1E"/>
    <w:rsid w:val="00762889"/>
    <w:rsid w:val="00787C02"/>
    <w:rsid w:val="007B5811"/>
    <w:rsid w:val="007C125F"/>
    <w:rsid w:val="007C1306"/>
    <w:rsid w:val="007D1D34"/>
    <w:rsid w:val="007D2D9E"/>
    <w:rsid w:val="007E74C7"/>
    <w:rsid w:val="007F65AB"/>
    <w:rsid w:val="0083028B"/>
    <w:rsid w:val="008307D2"/>
    <w:rsid w:val="00852E57"/>
    <w:rsid w:val="0085547E"/>
    <w:rsid w:val="00856519"/>
    <w:rsid w:val="0088550B"/>
    <w:rsid w:val="008D1889"/>
    <w:rsid w:val="0095511C"/>
    <w:rsid w:val="00970684"/>
    <w:rsid w:val="009908A7"/>
    <w:rsid w:val="00995236"/>
    <w:rsid w:val="00996F93"/>
    <w:rsid w:val="009B5CEB"/>
    <w:rsid w:val="009D7FD3"/>
    <w:rsid w:val="009E6C26"/>
    <w:rsid w:val="00A031AE"/>
    <w:rsid w:val="00A13591"/>
    <w:rsid w:val="00A17103"/>
    <w:rsid w:val="00A31FC1"/>
    <w:rsid w:val="00A35E69"/>
    <w:rsid w:val="00A47171"/>
    <w:rsid w:val="00A53269"/>
    <w:rsid w:val="00A540BB"/>
    <w:rsid w:val="00A60A5C"/>
    <w:rsid w:val="00AC4FC5"/>
    <w:rsid w:val="00AD6A4A"/>
    <w:rsid w:val="00AE00A3"/>
    <w:rsid w:val="00AE494E"/>
    <w:rsid w:val="00AF1A32"/>
    <w:rsid w:val="00B06932"/>
    <w:rsid w:val="00B25E57"/>
    <w:rsid w:val="00B35784"/>
    <w:rsid w:val="00B556AD"/>
    <w:rsid w:val="00B63458"/>
    <w:rsid w:val="00B67826"/>
    <w:rsid w:val="00B72754"/>
    <w:rsid w:val="00B74DC9"/>
    <w:rsid w:val="00BB0E75"/>
    <w:rsid w:val="00BB6B41"/>
    <w:rsid w:val="00C16251"/>
    <w:rsid w:val="00C45F36"/>
    <w:rsid w:val="00C62959"/>
    <w:rsid w:val="00C6726F"/>
    <w:rsid w:val="00C772D6"/>
    <w:rsid w:val="00C90C0C"/>
    <w:rsid w:val="00CC198F"/>
    <w:rsid w:val="00CC1B37"/>
    <w:rsid w:val="00CC31B5"/>
    <w:rsid w:val="00CC459A"/>
    <w:rsid w:val="00CC703A"/>
    <w:rsid w:val="00CF5DAB"/>
    <w:rsid w:val="00D22DC5"/>
    <w:rsid w:val="00D64A76"/>
    <w:rsid w:val="00D863AF"/>
    <w:rsid w:val="00DA2CC5"/>
    <w:rsid w:val="00DC6CA6"/>
    <w:rsid w:val="00DC7D6D"/>
    <w:rsid w:val="00DE17DB"/>
    <w:rsid w:val="00DF3147"/>
    <w:rsid w:val="00DF5BDC"/>
    <w:rsid w:val="00E0349E"/>
    <w:rsid w:val="00E14322"/>
    <w:rsid w:val="00E368DA"/>
    <w:rsid w:val="00E43EFA"/>
    <w:rsid w:val="00E55BFB"/>
    <w:rsid w:val="00E71567"/>
    <w:rsid w:val="00E81AC1"/>
    <w:rsid w:val="00E82460"/>
    <w:rsid w:val="00E97651"/>
    <w:rsid w:val="00EB07D9"/>
    <w:rsid w:val="00ED0E1D"/>
    <w:rsid w:val="00ED3505"/>
    <w:rsid w:val="00EE6270"/>
    <w:rsid w:val="00EE6718"/>
    <w:rsid w:val="00EF6C3C"/>
    <w:rsid w:val="00F3073F"/>
    <w:rsid w:val="00F73C5F"/>
    <w:rsid w:val="00F82E26"/>
    <w:rsid w:val="00F90CB5"/>
    <w:rsid w:val="00FA62C1"/>
    <w:rsid w:val="00FB1273"/>
    <w:rsid w:val="00FC0309"/>
    <w:rsid w:val="00FC775F"/>
    <w:rsid w:val="00FD4EB7"/>
    <w:rsid w:val="00FD551D"/>
    <w:rsid w:val="0B43600E"/>
    <w:rsid w:val="204A02E0"/>
    <w:rsid w:val="25AB1244"/>
    <w:rsid w:val="3F7F0FAB"/>
    <w:rsid w:val="51A95646"/>
    <w:rsid w:val="530D41E6"/>
    <w:rsid w:val="5513725E"/>
    <w:rsid w:val="68304F52"/>
    <w:rsid w:val="71984AD8"/>
    <w:rsid w:val="7879288E"/>
    <w:rsid w:val="7F1C28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link w:val="12"/>
    <w:qFormat/>
    <w:uiPriority w:val="0"/>
    <w:pPr>
      <w:tabs>
        <w:tab w:val="center" w:pos="4153"/>
        <w:tab w:val="right" w:pos="8306"/>
      </w:tabs>
      <w:snapToGrid w:val="0"/>
      <w:jc w:val="left"/>
    </w:pPr>
    <w:rPr>
      <w:sz w:val="18"/>
      <w:szCs w:val="18"/>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rPr>
      <w:sz w:val="24"/>
    </w:rPr>
  </w:style>
  <w:style w:type="character" w:styleId="8">
    <w:name w:val="Strong"/>
    <w:basedOn w:val="7"/>
    <w:qFormat/>
    <w:uiPriority w:val="22"/>
    <w:rPr>
      <w:b/>
    </w:rPr>
  </w:style>
  <w:style w:type="character" w:styleId="9">
    <w:name w:val="page number"/>
    <w:qFormat/>
    <w:uiPriority w:val="0"/>
  </w:style>
  <w:style w:type="character" w:customStyle="1" w:styleId="10">
    <w:name w:val="style131"/>
    <w:qFormat/>
    <w:uiPriority w:val="0"/>
    <w:rPr>
      <w:sz w:val="20"/>
      <w:szCs w:val="20"/>
    </w:rPr>
  </w:style>
  <w:style w:type="character" w:customStyle="1" w:styleId="11">
    <w:name w:val="页眉 字符"/>
    <w:link w:val="4"/>
    <w:qFormat/>
    <w:uiPriority w:val="0"/>
    <w:rPr>
      <w:kern w:val="2"/>
      <w:sz w:val="18"/>
      <w:szCs w:val="18"/>
    </w:rPr>
  </w:style>
  <w:style w:type="character" w:customStyle="1" w:styleId="12">
    <w:name w:val="页脚 字符"/>
    <w:link w:val="3"/>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WwW.YlmF.CoM</Company>
  <Pages>2</Pages>
  <Words>1047</Words>
  <Characters>1137</Characters>
  <Lines>7</Lines>
  <Paragraphs>2</Paragraphs>
  <TotalTime>17</TotalTime>
  <ScaleCrop>false</ScaleCrop>
  <LinksUpToDate>false</LinksUpToDate>
  <CharactersWithSpaces>1142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2022-10-17T03:29:00Z</dcterms:created>
  <dc:creator>雨林木风</dc:creator>
  <cp:lastModifiedBy>叶子</cp:lastModifiedBy>
  <cp:lastPrinted>2015-06-04T02:45:00Z</cp:lastPrinted>
  <dcterms:modified xsi:type="dcterms:W3CDTF">2025-11-04T06:38:07Z</dcterms:modified>
  <dc:title>附件：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830F2299480943C69BC006CD0A6E7816_13</vt:lpwstr>
  </property>
  <property fmtid="{D5CDD505-2E9C-101B-9397-08002B2CF9AE}" pid="4" name="KSOTemplateDocerSaveRecord">
    <vt:lpwstr>eyJoZGlkIjoiMzFiMGUzNGM3NTk4ZGI1ZTY0OTliMWE2NTE1MjI5NzEiLCJ1c2VySWQiOiI0NDUwOTgyOTEifQ==</vt:lpwstr>
  </property>
</Properties>
</file>